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17DCE" w14:textId="1714B1B3" w:rsidR="00C51B06" w:rsidRPr="00397DC8" w:rsidRDefault="00E675DA" w:rsidP="00FC4DB6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>NAJPRIMERNEJŠA SVETLOBA/OSVETLITEV PROSTORA ZA UČENCA Z IZGUBO SLUHA</w:t>
      </w:r>
    </w:p>
    <w:p w14:paraId="625E470C" w14:textId="77777777" w:rsidR="00FC4DB6" w:rsidRPr="00397DC8" w:rsidRDefault="00FC4DB6" w:rsidP="00C51B06">
      <w:pPr>
        <w:rPr>
          <w:rFonts w:cstheme="minorHAnsi"/>
          <w:sz w:val="24"/>
          <w:szCs w:val="24"/>
        </w:rPr>
      </w:pPr>
    </w:p>
    <w:p w14:paraId="6CB4025A" w14:textId="5E04347B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Dobri svetlobni pogoji v razredu so zelo pomembni za učenca z okvaro sluha.</w:t>
      </w:r>
    </w:p>
    <w:p w14:paraId="50CB3194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Učenec z okvaro sluha potrebuje dobro osvetlitev, da lahko vidi govor sogovornika, tablo in prikaze učne snovi.</w:t>
      </w:r>
    </w:p>
    <w:p w14:paraId="1E39D069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Vid omogoča dodatne informacije. Pri slabi svetlobi se oči hitreje utrudijo in koncentracija popusti.</w:t>
      </w:r>
    </w:p>
    <w:p w14:paraId="2AFD1739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Umetna svetloba omogoča vidu enakomerne in dobre pogoje.</w:t>
      </w:r>
    </w:p>
    <w:p w14:paraId="4A70BFB2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 xml:space="preserve"> </w:t>
      </w:r>
    </w:p>
    <w:p w14:paraId="6276EF45" w14:textId="77777777" w:rsidR="00C51B06" w:rsidRPr="00397DC8" w:rsidRDefault="00C51B06" w:rsidP="00175984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>1. Dobra svetloba:</w:t>
      </w:r>
    </w:p>
    <w:p w14:paraId="07C62195" w14:textId="7DBFD9AD" w:rsidR="00C51B06" w:rsidRPr="00397DC8" w:rsidRDefault="00C51B06" w:rsidP="00FC4D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Omogoča daljši čas zbranosti in boljšo pozornost</w:t>
      </w:r>
    </w:p>
    <w:p w14:paraId="5702F9BD" w14:textId="616FFF0E" w:rsidR="00C51B06" w:rsidRPr="00397DC8" w:rsidRDefault="00C51B06" w:rsidP="00FC4D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Izboljša ostrino vida in prepoznavanje podrobnosti</w:t>
      </w:r>
    </w:p>
    <w:p w14:paraId="2833B2BC" w14:textId="1EAA0FA0" w:rsidR="00C51B06" w:rsidRPr="00397DC8" w:rsidRDefault="00C51B06" w:rsidP="00FC4D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Hitrost branja se izboljša</w:t>
      </w:r>
    </w:p>
    <w:p w14:paraId="625C9F6D" w14:textId="50BC02F5" w:rsidR="00C51B06" w:rsidRPr="00397DC8" w:rsidRDefault="00C51B06" w:rsidP="00FC4D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Izboljša prepoznavanje kontrastov</w:t>
      </w:r>
    </w:p>
    <w:p w14:paraId="165CFD3B" w14:textId="08EAA73B" w:rsidR="00C51B06" w:rsidRPr="00397DC8" w:rsidRDefault="00C51B06" w:rsidP="00FC4D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Izboljša komunikacijo</w:t>
      </w:r>
    </w:p>
    <w:p w14:paraId="1CF72712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</w:p>
    <w:p w14:paraId="50A294FC" w14:textId="77777777" w:rsidR="00C51B06" w:rsidRPr="00397DC8" w:rsidRDefault="00C51B06" w:rsidP="00175984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>2. Dobra osvetlitev prostora pomeni:</w:t>
      </w:r>
    </w:p>
    <w:p w14:paraId="083A7146" w14:textId="5D9B50EB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Osvetlitev prostora je enakomerna</w:t>
      </w:r>
    </w:p>
    <w:p w14:paraId="45184938" w14:textId="22714BB4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Jakost svetlobe lahko uravnavamo</w:t>
      </w:r>
    </w:p>
    <w:p w14:paraId="4FBDCB6D" w14:textId="0C34F2F6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Svetloba ni moteča, ni usmerjena v osebe v prostoru</w:t>
      </w:r>
    </w:p>
    <w:p w14:paraId="3F31E585" w14:textId="64BEF193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Okna so opremljena z zaščito pred svetlobo (zavese in roloji)</w:t>
      </w:r>
    </w:p>
    <w:p w14:paraId="783EFFBF" w14:textId="5126DD64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Delovni prostori so svetli</w:t>
      </w:r>
    </w:p>
    <w:p w14:paraId="23E639D3" w14:textId="381A4C19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Luči ne mečejo senc</w:t>
      </w:r>
    </w:p>
    <w:p w14:paraId="52451BCF" w14:textId="7F5232DD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Luči ne oddajajo trepetajoče svetlobe</w:t>
      </w:r>
    </w:p>
    <w:p w14:paraId="4048AAF7" w14:textId="1553D736" w:rsidR="00C51B06" w:rsidRPr="00397DC8" w:rsidRDefault="00C51B06" w:rsidP="006B1B2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Moč osvetlitve luči lahko uravnavamo</w:t>
      </w:r>
    </w:p>
    <w:p w14:paraId="3ED3AC9B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</w:p>
    <w:p w14:paraId="59919F35" w14:textId="77777777" w:rsidR="00C51B06" w:rsidRPr="00397DC8" w:rsidRDefault="00C51B06" w:rsidP="00175984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>2.1 Moč razsvetljave in porazdelitev svetilnosti</w:t>
      </w:r>
    </w:p>
    <w:p w14:paraId="4295997B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 xml:space="preserve">Moč razsvetljave in porazdelitev svetilnosti pomeni število in razporeditev luči v prostoru. Svetlobno jakost merimo v </w:t>
      </w:r>
      <w:proofErr w:type="spellStart"/>
      <w:r w:rsidRPr="00397DC8">
        <w:rPr>
          <w:rFonts w:cstheme="minorHAnsi"/>
          <w:sz w:val="24"/>
          <w:szCs w:val="24"/>
        </w:rPr>
        <w:t>luxih</w:t>
      </w:r>
      <w:proofErr w:type="spellEnd"/>
      <w:r w:rsidRPr="00397DC8">
        <w:rPr>
          <w:rFonts w:cstheme="minorHAnsi"/>
          <w:sz w:val="24"/>
          <w:szCs w:val="24"/>
        </w:rPr>
        <w:t xml:space="preserve">. Povsod v razredu naj bi bila jakost svetlobe najmanj 500 </w:t>
      </w:r>
      <w:proofErr w:type="spellStart"/>
      <w:r w:rsidRPr="00397DC8">
        <w:rPr>
          <w:rFonts w:cstheme="minorHAnsi"/>
          <w:sz w:val="24"/>
          <w:szCs w:val="24"/>
        </w:rPr>
        <w:t>luxov</w:t>
      </w:r>
      <w:proofErr w:type="spellEnd"/>
      <w:r w:rsidRPr="00397DC8">
        <w:rPr>
          <w:rFonts w:cstheme="minorHAnsi"/>
          <w:sz w:val="24"/>
          <w:szCs w:val="24"/>
        </w:rPr>
        <w:t>. Preverimo jo lahko z aplikacijo na mobilnem telefonu. Osvetlitev v prostoru mora biti enakomerno porazdeljena.</w:t>
      </w:r>
    </w:p>
    <w:p w14:paraId="002DECBD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</w:p>
    <w:p w14:paraId="7CDFB518" w14:textId="77777777" w:rsidR="00C51B06" w:rsidRPr="00397DC8" w:rsidRDefault="00C51B06" w:rsidP="00175984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>2.2 Omejitev bleščanja in smer osvetlitve</w:t>
      </w:r>
    </w:p>
    <w:p w14:paraId="2D3360E4" w14:textId="23CB99AD" w:rsidR="00C51B06" w:rsidRPr="00397DC8" w:rsidRDefault="00C51B06" w:rsidP="006D0F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 xml:space="preserve">Luči ne smejo bleščati in s tem ovirati učence. </w:t>
      </w:r>
    </w:p>
    <w:p w14:paraId="2718E6C4" w14:textId="55C331F9" w:rsidR="00C51B06" w:rsidRPr="00397DC8" w:rsidRDefault="00C51B06" w:rsidP="006D0F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Svetloba se ne sme odbijati, zrcaliti ali metati senc.</w:t>
      </w:r>
    </w:p>
    <w:p w14:paraId="67757762" w14:textId="77777777" w:rsidR="006D0F70" w:rsidRPr="00397DC8" w:rsidRDefault="006D0F70" w:rsidP="00C51B06">
      <w:pPr>
        <w:rPr>
          <w:rFonts w:cstheme="minorHAnsi"/>
          <w:sz w:val="24"/>
          <w:szCs w:val="24"/>
        </w:rPr>
      </w:pPr>
    </w:p>
    <w:p w14:paraId="6B7AEB12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lastRenderedPageBreak/>
        <w:t>Potrebujemo:</w:t>
      </w:r>
    </w:p>
    <w:p w14:paraId="6599109E" w14:textId="0EFC757E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matirane, ne svetleče površine</w:t>
      </w:r>
    </w:p>
    <w:p w14:paraId="3C1F652D" w14:textId="367F2500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notranja in zunanja senčila za okna</w:t>
      </w:r>
    </w:p>
    <w:p w14:paraId="1B7938C8" w14:textId="729539FF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razporeditev luči, ki poteka vzporedno ob oknu</w:t>
      </w:r>
    </w:p>
    <w:p w14:paraId="1484046F" w14:textId="339C3966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luči, ki ne mečejo senc</w:t>
      </w:r>
    </w:p>
    <w:p w14:paraId="27AADD82" w14:textId="4E23ACB1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luči z indirektno svetlobo</w:t>
      </w:r>
    </w:p>
    <w:p w14:paraId="61008D21" w14:textId="377CD52B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 xml:space="preserve">okna opremljena z zaščito pred svetlobo (zavese ali roloji) </w:t>
      </w:r>
    </w:p>
    <w:p w14:paraId="6D332113" w14:textId="7E245E59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 xml:space="preserve">svetla delovna mesta </w:t>
      </w:r>
    </w:p>
    <w:p w14:paraId="5D88B9EE" w14:textId="7DAE6B02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razsvetljavo, ki ne oddaja trepetajoče svetlobe</w:t>
      </w:r>
    </w:p>
    <w:p w14:paraId="6151CC2E" w14:textId="28F5056D" w:rsidR="00C51B06" w:rsidRPr="00397DC8" w:rsidRDefault="00C51B06" w:rsidP="00E278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osvetlitev, ki jo lahko reguliramo, zmanjšamo.</w:t>
      </w:r>
    </w:p>
    <w:p w14:paraId="1A12F00F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</w:p>
    <w:p w14:paraId="63901FC7" w14:textId="77777777" w:rsidR="00C51B06" w:rsidRPr="00397DC8" w:rsidRDefault="00C51B06" w:rsidP="00397DC8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>2.3 Barva svetlobe</w:t>
      </w:r>
    </w:p>
    <w:p w14:paraId="2B1FF534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Barva svetlobe mora biti enaka v vsem prostoru. Vsak jo občuti drugače. Predpisi, ki bi to urejali, ne obstajajo.</w:t>
      </w:r>
    </w:p>
    <w:p w14:paraId="040E928D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 xml:space="preserve"> </w:t>
      </w:r>
    </w:p>
    <w:p w14:paraId="51E901A2" w14:textId="09405431" w:rsidR="00CA63AB" w:rsidRPr="00397DC8" w:rsidRDefault="00954CBA" w:rsidP="00397DC8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 xml:space="preserve">3. </w:t>
      </w:r>
      <w:r w:rsidR="00C51B06" w:rsidRPr="00397DC8">
        <w:rPr>
          <w:rFonts w:asciiTheme="minorHAnsi" w:hAnsiTheme="minorHAnsi" w:cstheme="minorHAnsi"/>
          <w:color w:val="auto"/>
          <w:sz w:val="24"/>
          <w:szCs w:val="24"/>
        </w:rPr>
        <w:t>Seznam za preverjanje</w:t>
      </w:r>
      <w:r w:rsidR="006E189B" w:rsidRPr="00397D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CAD7B0" w14:textId="59489E2D" w:rsidR="00C51B06" w:rsidRPr="00397DC8" w:rsidRDefault="00C51B06" w:rsidP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Najboljši svetlobni pogoji za učenca z okvaro sluha</w:t>
      </w:r>
    </w:p>
    <w:p w14:paraId="6CC15C58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Ali je razsvetljava prižgana?</w:t>
      </w:r>
    </w:p>
    <w:p w14:paraId="51007AE7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Ja razred enakomerno osvetljen?</w:t>
      </w:r>
    </w:p>
    <w:p w14:paraId="1A77CF28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Ali je na voljo dodatna luč za osvetlitev table?</w:t>
      </w:r>
    </w:p>
    <w:p w14:paraId="0152DFD7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Učenec sedi tako, da ga svetloba ne slepi.</w:t>
      </w:r>
    </w:p>
    <w:p w14:paraId="6361F852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Ali so luči na stropu enakomerno razvrščene?</w:t>
      </w:r>
    </w:p>
    <w:p w14:paraId="40804AFD" w14:textId="344891F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 xml:space="preserve">Luči </w:t>
      </w:r>
      <w:r w:rsidR="00DF3EE8" w:rsidRPr="00397DC8">
        <w:rPr>
          <w:rFonts w:cstheme="minorHAnsi"/>
          <w:sz w:val="24"/>
          <w:szCs w:val="24"/>
        </w:rPr>
        <w:t>ra</w:t>
      </w:r>
      <w:r w:rsidR="00DF3EE8">
        <w:rPr>
          <w:rFonts w:cstheme="minorHAnsi"/>
          <w:sz w:val="24"/>
          <w:szCs w:val="24"/>
        </w:rPr>
        <w:t>z</w:t>
      </w:r>
      <w:r w:rsidR="00DF3EE8" w:rsidRPr="00397DC8">
        <w:rPr>
          <w:rFonts w:cstheme="minorHAnsi"/>
          <w:sz w:val="24"/>
          <w:szCs w:val="24"/>
        </w:rPr>
        <w:t>svetljuj</w:t>
      </w:r>
      <w:r w:rsidR="00DF3EE8">
        <w:rPr>
          <w:rFonts w:cstheme="minorHAnsi"/>
          <w:sz w:val="24"/>
          <w:szCs w:val="24"/>
        </w:rPr>
        <w:t>e</w:t>
      </w:r>
      <w:r w:rsidR="00DF3EE8" w:rsidRPr="00397DC8">
        <w:rPr>
          <w:rFonts w:cstheme="minorHAnsi"/>
          <w:sz w:val="24"/>
          <w:szCs w:val="24"/>
        </w:rPr>
        <w:t>jo</w:t>
      </w:r>
      <w:r w:rsidRPr="00397DC8">
        <w:rPr>
          <w:rFonts w:cstheme="minorHAnsi"/>
          <w:sz w:val="24"/>
          <w:szCs w:val="24"/>
        </w:rPr>
        <w:t xml:space="preserve"> tako, da ne mečejo senc.</w:t>
      </w:r>
      <w:bookmarkStart w:id="0" w:name="_GoBack"/>
      <w:bookmarkEnd w:id="0"/>
    </w:p>
    <w:p w14:paraId="14C9B21E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Ali so na oknih zavese ali roloji, da se zaščitimo pred premočno svetlobo?</w:t>
      </w:r>
    </w:p>
    <w:p w14:paraId="18C2D316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So delovni prostori svetli?</w:t>
      </w:r>
    </w:p>
    <w:p w14:paraId="0528B096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Ali je luči delujejo brezhibno?</w:t>
      </w:r>
    </w:p>
    <w:p w14:paraId="050B29CF" w14:textId="77777777" w:rsidR="00C51B06" w:rsidRPr="00397DC8" w:rsidRDefault="00C51B06" w:rsidP="00F87CA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Ali  lahko aktivno vplivamo na postopno večanje ali manjšanje jakosti luči?</w:t>
      </w:r>
    </w:p>
    <w:p w14:paraId="442C8751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</w:p>
    <w:p w14:paraId="7B50117A" w14:textId="16C4716E" w:rsidR="00C51B06" w:rsidRPr="00397DC8" w:rsidRDefault="00954CBA" w:rsidP="00397DC8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397DC8">
        <w:rPr>
          <w:rFonts w:asciiTheme="minorHAnsi" w:hAnsiTheme="minorHAnsi" w:cstheme="minorHAnsi"/>
          <w:color w:val="auto"/>
          <w:sz w:val="24"/>
          <w:szCs w:val="24"/>
        </w:rPr>
        <w:t xml:space="preserve">4. </w:t>
      </w:r>
      <w:r w:rsidR="00C51B06" w:rsidRPr="00397DC8">
        <w:rPr>
          <w:rFonts w:asciiTheme="minorHAnsi" w:hAnsiTheme="minorHAnsi" w:cstheme="minorHAnsi"/>
          <w:color w:val="auto"/>
          <w:sz w:val="24"/>
          <w:szCs w:val="24"/>
        </w:rPr>
        <w:t>Literatura</w:t>
      </w:r>
    </w:p>
    <w:p w14:paraId="49BB7A78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proofErr w:type="spellStart"/>
      <w:r w:rsidRPr="00397DC8">
        <w:rPr>
          <w:rFonts w:cstheme="minorHAnsi"/>
          <w:sz w:val="24"/>
          <w:szCs w:val="24"/>
        </w:rPr>
        <w:t>Deutsche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Gesetzliche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Unfallversicherung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e.V</w:t>
      </w:r>
      <w:proofErr w:type="spellEnd"/>
      <w:r w:rsidRPr="00397DC8">
        <w:rPr>
          <w:rFonts w:cstheme="minorHAnsi"/>
          <w:sz w:val="24"/>
          <w:szCs w:val="24"/>
        </w:rPr>
        <w:t>. (DGUV) (</w:t>
      </w:r>
      <w:proofErr w:type="spellStart"/>
      <w:r w:rsidRPr="00397DC8">
        <w:rPr>
          <w:rFonts w:cstheme="minorHAnsi"/>
          <w:sz w:val="24"/>
          <w:szCs w:val="24"/>
        </w:rPr>
        <w:t>Hrsg</w:t>
      </w:r>
      <w:proofErr w:type="spellEnd"/>
      <w:r w:rsidRPr="00397DC8">
        <w:rPr>
          <w:rFonts w:cstheme="minorHAnsi"/>
          <w:sz w:val="24"/>
          <w:szCs w:val="24"/>
        </w:rPr>
        <w:t xml:space="preserve">.) (2012, </w:t>
      </w:r>
      <w:proofErr w:type="spellStart"/>
      <w:r w:rsidRPr="00397DC8">
        <w:rPr>
          <w:rFonts w:cstheme="minorHAnsi"/>
          <w:sz w:val="24"/>
          <w:szCs w:val="24"/>
        </w:rPr>
        <w:t>aktualisiert</w:t>
      </w:r>
      <w:proofErr w:type="spellEnd"/>
      <w:r w:rsidRPr="00397DC8">
        <w:rPr>
          <w:rFonts w:cstheme="minorHAnsi"/>
          <w:sz w:val="24"/>
          <w:szCs w:val="24"/>
        </w:rPr>
        <w:t xml:space="preserve"> 2018): </w:t>
      </w:r>
      <w:proofErr w:type="spellStart"/>
      <w:r w:rsidRPr="00397DC8">
        <w:rPr>
          <w:rFonts w:cstheme="minorHAnsi"/>
          <w:sz w:val="24"/>
          <w:szCs w:val="24"/>
        </w:rPr>
        <w:t>Klasse</w:t>
      </w:r>
      <w:proofErr w:type="spellEnd"/>
      <w:r w:rsidRPr="00397DC8">
        <w:rPr>
          <w:rFonts w:cstheme="minorHAnsi"/>
          <w:sz w:val="24"/>
          <w:szCs w:val="24"/>
        </w:rPr>
        <w:t xml:space="preserve">(n) – </w:t>
      </w:r>
      <w:proofErr w:type="spellStart"/>
      <w:r w:rsidRPr="00397DC8">
        <w:rPr>
          <w:rFonts w:cstheme="minorHAnsi"/>
          <w:sz w:val="24"/>
          <w:szCs w:val="24"/>
        </w:rPr>
        <w:t>Räume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für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Schulen</w:t>
      </w:r>
      <w:proofErr w:type="spellEnd"/>
      <w:r w:rsidRPr="00397DC8">
        <w:rPr>
          <w:rFonts w:cstheme="minorHAnsi"/>
          <w:sz w:val="24"/>
          <w:szCs w:val="24"/>
        </w:rPr>
        <w:t xml:space="preserve">. DGUV </w:t>
      </w:r>
      <w:proofErr w:type="spellStart"/>
      <w:r w:rsidRPr="00397DC8">
        <w:rPr>
          <w:rFonts w:cstheme="minorHAnsi"/>
          <w:sz w:val="24"/>
          <w:szCs w:val="24"/>
        </w:rPr>
        <w:t>Information</w:t>
      </w:r>
      <w:proofErr w:type="spellEnd"/>
      <w:r w:rsidRPr="00397DC8">
        <w:rPr>
          <w:rFonts w:cstheme="minorHAnsi"/>
          <w:sz w:val="24"/>
          <w:szCs w:val="24"/>
        </w:rPr>
        <w:t xml:space="preserve"> 202-090 </w:t>
      </w:r>
    </w:p>
    <w:p w14:paraId="38561EE4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proofErr w:type="spellStart"/>
      <w:r w:rsidRPr="00397DC8">
        <w:rPr>
          <w:rFonts w:cstheme="minorHAnsi"/>
          <w:sz w:val="24"/>
          <w:szCs w:val="24"/>
        </w:rPr>
        <w:t>Hase</w:t>
      </w:r>
      <w:proofErr w:type="spellEnd"/>
      <w:r w:rsidRPr="00397DC8">
        <w:rPr>
          <w:rFonts w:cstheme="minorHAnsi"/>
          <w:sz w:val="24"/>
          <w:szCs w:val="24"/>
        </w:rPr>
        <w:t>, U. (</w:t>
      </w:r>
      <w:proofErr w:type="spellStart"/>
      <w:r w:rsidRPr="00397DC8">
        <w:rPr>
          <w:rFonts w:cstheme="minorHAnsi"/>
          <w:sz w:val="24"/>
          <w:szCs w:val="24"/>
        </w:rPr>
        <w:t>Hrsg</w:t>
      </w:r>
      <w:proofErr w:type="spellEnd"/>
      <w:r w:rsidRPr="00397DC8">
        <w:rPr>
          <w:rFonts w:cstheme="minorHAnsi"/>
          <w:sz w:val="24"/>
          <w:szCs w:val="24"/>
        </w:rPr>
        <w:t xml:space="preserve">): </w:t>
      </w:r>
      <w:proofErr w:type="spellStart"/>
      <w:r w:rsidRPr="00397DC8">
        <w:rPr>
          <w:rFonts w:cstheme="minorHAnsi"/>
          <w:sz w:val="24"/>
          <w:szCs w:val="24"/>
        </w:rPr>
        <w:t>Barrierefreiheit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durch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gutes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Licht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Röpke</w:t>
      </w:r>
      <w:proofErr w:type="spellEnd"/>
      <w:r w:rsidRPr="00397DC8">
        <w:rPr>
          <w:rFonts w:cstheme="minorHAnsi"/>
          <w:sz w:val="24"/>
          <w:szCs w:val="24"/>
        </w:rPr>
        <w:t xml:space="preserve">, B.: </w:t>
      </w:r>
      <w:proofErr w:type="spellStart"/>
      <w:r w:rsidRPr="00397DC8">
        <w:rPr>
          <w:rFonts w:cstheme="minorHAnsi"/>
          <w:sz w:val="24"/>
          <w:szCs w:val="24"/>
        </w:rPr>
        <w:t>Lichtberatung</w:t>
      </w:r>
      <w:proofErr w:type="spellEnd"/>
      <w:r w:rsidRPr="00397DC8">
        <w:rPr>
          <w:rFonts w:cstheme="minorHAnsi"/>
          <w:sz w:val="24"/>
          <w:szCs w:val="24"/>
        </w:rPr>
        <w:t xml:space="preserve">: </w:t>
      </w:r>
      <w:proofErr w:type="spellStart"/>
      <w:r w:rsidRPr="00397DC8">
        <w:rPr>
          <w:rFonts w:cstheme="minorHAnsi"/>
          <w:sz w:val="24"/>
          <w:szCs w:val="24"/>
        </w:rPr>
        <w:t>Verbesserung</w:t>
      </w:r>
      <w:proofErr w:type="spellEnd"/>
      <w:r w:rsidRPr="00397DC8">
        <w:rPr>
          <w:rFonts w:cstheme="minorHAnsi"/>
          <w:sz w:val="24"/>
          <w:szCs w:val="24"/>
        </w:rPr>
        <w:t xml:space="preserve"> der </w:t>
      </w:r>
      <w:proofErr w:type="spellStart"/>
      <w:r w:rsidRPr="00397DC8">
        <w:rPr>
          <w:rFonts w:cstheme="minorHAnsi"/>
          <w:sz w:val="24"/>
          <w:szCs w:val="24"/>
        </w:rPr>
        <w:t>Rahmenbedingungen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durch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künstliche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Beleuchtung</w:t>
      </w:r>
      <w:proofErr w:type="spellEnd"/>
      <w:r w:rsidRPr="00397DC8">
        <w:rPr>
          <w:rFonts w:cstheme="minorHAnsi"/>
          <w:sz w:val="24"/>
          <w:szCs w:val="24"/>
        </w:rPr>
        <w:t xml:space="preserve">. </w:t>
      </w:r>
      <w:proofErr w:type="spellStart"/>
      <w:r w:rsidRPr="00397DC8">
        <w:rPr>
          <w:rFonts w:cstheme="minorHAnsi"/>
          <w:sz w:val="24"/>
          <w:szCs w:val="24"/>
        </w:rPr>
        <w:t>Landesförderzentrum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Sehen</w:t>
      </w:r>
      <w:proofErr w:type="spellEnd"/>
      <w:r w:rsidRPr="00397DC8">
        <w:rPr>
          <w:rFonts w:cstheme="minorHAnsi"/>
          <w:sz w:val="24"/>
          <w:szCs w:val="24"/>
        </w:rPr>
        <w:t xml:space="preserve">, Schleswig </w:t>
      </w:r>
    </w:p>
    <w:p w14:paraId="5AEBEDBD" w14:textId="77777777" w:rsidR="00C51B06" w:rsidRPr="00397DC8" w:rsidRDefault="00C51B06" w:rsidP="00C51B06">
      <w:pPr>
        <w:rPr>
          <w:rFonts w:cstheme="minorHAnsi"/>
          <w:sz w:val="24"/>
          <w:szCs w:val="24"/>
        </w:rPr>
      </w:pPr>
      <w:proofErr w:type="spellStart"/>
      <w:r w:rsidRPr="00397DC8">
        <w:rPr>
          <w:rFonts w:cstheme="minorHAnsi"/>
          <w:sz w:val="24"/>
          <w:szCs w:val="24"/>
        </w:rPr>
        <w:t>Schneider</w:t>
      </w:r>
      <w:proofErr w:type="spellEnd"/>
      <w:r w:rsidRPr="00397DC8">
        <w:rPr>
          <w:rFonts w:cstheme="minorHAnsi"/>
          <w:sz w:val="24"/>
          <w:szCs w:val="24"/>
        </w:rPr>
        <w:t xml:space="preserve"> O, </w:t>
      </w:r>
      <w:proofErr w:type="spellStart"/>
      <w:r w:rsidRPr="00397DC8">
        <w:rPr>
          <w:rFonts w:cstheme="minorHAnsi"/>
          <w:sz w:val="24"/>
          <w:szCs w:val="24"/>
        </w:rPr>
        <w:t>Hennies</w:t>
      </w:r>
      <w:proofErr w:type="spellEnd"/>
      <w:r w:rsidRPr="00397DC8">
        <w:rPr>
          <w:rFonts w:cstheme="minorHAnsi"/>
          <w:sz w:val="24"/>
          <w:szCs w:val="24"/>
        </w:rPr>
        <w:t xml:space="preserve"> J, </w:t>
      </w:r>
      <w:proofErr w:type="spellStart"/>
      <w:r w:rsidRPr="00397DC8">
        <w:rPr>
          <w:rFonts w:cstheme="minorHAnsi"/>
          <w:sz w:val="24"/>
          <w:szCs w:val="24"/>
        </w:rPr>
        <w:t>Jäger</w:t>
      </w:r>
      <w:proofErr w:type="spellEnd"/>
      <w:r w:rsidRPr="00397DC8">
        <w:rPr>
          <w:rFonts w:cstheme="minorHAnsi"/>
          <w:sz w:val="24"/>
          <w:szCs w:val="24"/>
        </w:rPr>
        <w:t xml:space="preserve"> S, </w:t>
      </w:r>
      <w:proofErr w:type="spellStart"/>
      <w:r w:rsidRPr="00397DC8">
        <w:rPr>
          <w:rFonts w:cstheme="minorHAnsi"/>
          <w:sz w:val="24"/>
          <w:szCs w:val="24"/>
        </w:rPr>
        <w:t>Rauner</w:t>
      </w:r>
      <w:proofErr w:type="spellEnd"/>
      <w:r w:rsidRPr="00397DC8">
        <w:rPr>
          <w:rFonts w:cstheme="minorHAnsi"/>
          <w:sz w:val="24"/>
          <w:szCs w:val="24"/>
        </w:rPr>
        <w:t xml:space="preserve"> R, </w:t>
      </w:r>
      <w:proofErr w:type="spellStart"/>
      <w:r w:rsidRPr="00397DC8">
        <w:rPr>
          <w:rFonts w:cstheme="minorHAnsi"/>
          <w:sz w:val="24"/>
          <w:szCs w:val="24"/>
        </w:rPr>
        <w:t>Schäfer</w:t>
      </w:r>
      <w:proofErr w:type="spellEnd"/>
      <w:r w:rsidRPr="00397DC8">
        <w:rPr>
          <w:rFonts w:cstheme="minorHAnsi"/>
          <w:sz w:val="24"/>
          <w:szCs w:val="24"/>
        </w:rPr>
        <w:t xml:space="preserve"> K, Schulz W, </w:t>
      </w:r>
      <w:proofErr w:type="spellStart"/>
      <w:r w:rsidRPr="00397DC8">
        <w:rPr>
          <w:rFonts w:cstheme="minorHAnsi"/>
          <w:sz w:val="24"/>
          <w:szCs w:val="24"/>
        </w:rPr>
        <w:t>Stecher</w:t>
      </w:r>
      <w:proofErr w:type="spellEnd"/>
      <w:r w:rsidRPr="00397DC8">
        <w:rPr>
          <w:rFonts w:cstheme="minorHAnsi"/>
          <w:sz w:val="24"/>
          <w:szCs w:val="24"/>
        </w:rPr>
        <w:t xml:space="preserve"> M (2021): </w:t>
      </w:r>
      <w:proofErr w:type="spellStart"/>
      <w:r w:rsidRPr="00397DC8">
        <w:rPr>
          <w:rFonts w:cstheme="minorHAnsi"/>
          <w:sz w:val="24"/>
          <w:szCs w:val="24"/>
        </w:rPr>
        <w:t>Leitlinien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guter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Unterricht</w:t>
      </w:r>
      <w:proofErr w:type="spellEnd"/>
      <w:r w:rsidRPr="00397DC8">
        <w:rPr>
          <w:rFonts w:cstheme="minorHAnsi"/>
          <w:sz w:val="24"/>
          <w:szCs w:val="24"/>
        </w:rPr>
        <w:t xml:space="preserve">. </w:t>
      </w:r>
      <w:proofErr w:type="spellStart"/>
      <w:r w:rsidRPr="00397DC8">
        <w:rPr>
          <w:rFonts w:cstheme="minorHAnsi"/>
          <w:sz w:val="24"/>
          <w:szCs w:val="24"/>
        </w:rPr>
        <w:t>Arbeitskreis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Unterricht</w:t>
      </w:r>
      <w:proofErr w:type="spellEnd"/>
      <w:r w:rsidRPr="00397DC8">
        <w:rPr>
          <w:rFonts w:cstheme="minorHAnsi"/>
          <w:sz w:val="24"/>
          <w:szCs w:val="24"/>
        </w:rPr>
        <w:t xml:space="preserve">, </w:t>
      </w:r>
      <w:proofErr w:type="spellStart"/>
      <w:r w:rsidRPr="00397DC8">
        <w:rPr>
          <w:rFonts w:cstheme="minorHAnsi"/>
          <w:sz w:val="24"/>
          <w:szCs w:val="24"/>
        </w:rPr>
        <w:t>Berufsverband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Deutscher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Hörgeschädigtenpädagogen</w:t>
      </w:r>
      <w:proofErr w:type="spellEnd"/>
      <w:r w:rsidRPr="00397DC8">
        <w:rPr>
          <w:rFonts w:cstheme="minorHAnsi"/>
          <w:sz w:val="24"/>
          <w:szCs w:val="24"/>
        </w:rPr>
        <w:t xml:space="preserve"> e. V. </w:t>
      </w:r>
      <w:proofErr w:type="spellStart"/>
      <w:r w:rsidRPr="00397DC8">
        <w:rPr>
          <w:rFonts w:cstheme="minorHAnsi"/>
          <w:sz w:val="24"/>
          <w:szCs w:val="24"/>
        </w:rPr>
        <w:t>Online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verfügbar</w:t>
      </w:r>
      <w:proofErr w:type="spellEnd"/>
      <w:r w:rsidRPr="00397DC8">
        <w:rPr>
          <w:rFonts w:cstheme="minorHAnsi"/>
          <w:sz w:val="24"/>
          <w:szCs w:val="24"/>
        </w:rPr>
        <w:t xml:space="preserve"> </w:t>
      </w:r>
      <w:proofErr w:type="spellStart"/>
      <w:r w:rsidRPr="00397DC8">
        <w:rPr>
          <w:rFonts w:cstheme="minorHAnsi"/>
          <w:sz w:val="24"/>
          <w:szCs w:val="24"/>
        </w:rPr>
        <w:t>unter</w:t>
      </w:r>
      <w:proofErr w:type="spellEnd"/>
      <w:r w:rsidRPr="00397DC8">
        <w:rPr>
          <w:rFonts w:cstheme="minorHAnsi"/>
          <w:sz w:val="24"/>
          <w:szCs w:val="24"/>
        </w:rPr>
        <w:t xml:space="preserve"> www.bdh-guter-unterricht.de </w:t>
      </w:r>
    </w:p>
    <w:p w14:paraId="62351F9B" w14:textId="52123085" w:rsidR="00731C5A" w:rsidRPr="00397DC8" w:rsidRDefault="00C51B06">
      <w:pPr>
        <w:rPr>
          <w:rFonts w:cstheme="minorHAnsi"/>
          <w:sz w:val="24"/>
          <w:szCs w:val="24"/>
        </w:rPr>
      </w:pPr>
      <w:r w:rsidRPr="00397DC8">
        <w:rPr>
          <w:rFonts w:cstheme="minorHAnsi"/>
          <w:sz w:val="24"/>
          <w:szCs w:val="24"/>
        </w:rPr>
        <w:t>Zadnji dostop: 27.06.2022</w:t>
      </w:r>
    </w:p>
    <w:sectPr w:rsidR="00731C5A" w:rsidRPr="00397DC8" w:rsidSect="00897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007F"/>
    <w:multiLevelType w:val="hybridMultilevel"/>
    <w:tmpl w:val="82AEE0EA"/>
    <w:lvl w:ilvl="0" w:tplc="031A63D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E06AC"/>
    <w:multiLevelType w:val="hybridMultilevel"/>
    <w:tmpl w:val="893C6324"/>
    <w:lvl w:ilvl="0" w:tplc="031A63D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9D7"/>
    <w:multiLevelType w:val="hybridMultilevel"/>
    <w:tmpl w:val="78E8DF78"/>
    <w:lvl w:ilvl="0" w:tplc="031A63D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6BFC"/>
    <w:multiLevelType w:val="hybridMultilevel"/>
    <w:tmpl w:val="BD88C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C64D0"/>
    <w:multiLevelType w:val="hybridMultilevel"/>
    <w:tmpl w:val="B512F26C"/>
    <w:lvl w:ilvl="0" w:tplc="031A63D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C31F3"/>
    <w:multiLevelType w:val="hybridMultilevel"/>
    <w:tmpl w:val="E1AAD104"/>
    <w:lvl w:ilvl="0" w:tplc="031A63D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41"/>
    <w:rsid w:val="000A4841"/>
    <w:rsid w:val="00162037"/>
    <w:rsid w:val="00175984"/>
    <w:rsid w:val="0028109D"/>
    <w:rsid w:val="00397DC8"/>
    <w:rsid w:val="00624281"/>
    <w:rsid w:val="00636C9A"/>
    <w:rsid w:val="0069396D"/>
    <w:rsid w:val="006B1B2D"/>
    <w:rsid w:val="006D0F70"/>
    <w:rsid w:val="006E189B"/>
    <w:rsid w:val="00731C5A"/>
    <w:rsid w:val="00735CA5"/>
    <w:rsid w:val="00897281"/>
    <w:rsid w:val="00954CBA"/>
    <w:rsid w:val="009E6D6A"/>
    <w:rsid w:val="00C51B06"/>
    <w:rsid w:val="00CA63AB"/>
    <w:rsid w:val="00D63141"/>
    <w:rsid w:val="00DF3EE8"/>
    <w:rsid w:val="00E27816"/>
    <w:rsid w:val="00E675DA"/>
    <w:rsid w:val="00F87CAE"/>
    <w:rsid w:val="00F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132C"/>
  <w15:chartTrackingRefBased/>
  <w15:docId w15:val="{AA44298B-D41F-4E50-88DA-80E1B34B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D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9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C4D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9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Najprimernejša svetloba/osvetlitev prostora za učenca z izgubo sluha</dc:title>
  <dc:subject/>
  <dc:creator>Dane</dc:creator>
  <cp:keywords/>
  <dc:description/>
  <cp:lastModifiedBy>Dane</cp:lastModifiedBy>
  <cp:revision>21</cp:revision>
  <dcterms:created xsi:type="dcterms:W3CDTF">2026-03-15T16:32:00Z</dcterms:created>
  <dcterms:modified xsi:type="dcterms:W3CDTF">2026-03-15T16:38:00Z</dcterms:modified>
</cp:coreProperties>
</file>